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E04" w:rsidRPr="00A71B3A" w:rsidRDefault="005A01EC" w:rsidP="001B1E04">
      <w:pPr>
        <w:pStyle w:val="3GPPHeader"/>
        <w:spacing w:after="60"/>
        <w:rPr>
          <w:sz w:val="28"/>
          <w:szCs w:val="28"/>
        </w:rPr>
      </w:pPr>
      <w:bookmarkStart w:id="0" w:name="OLE_LINK1"/>
      <w:bookmarkStart w:id="1" w:name="OLE_LINK2"/>
      <w:r w:rsidRPr="00A71B3A">
        <w:rPr>
          <w:sz w:val="28"/>
          <w:szCs w:val="28"/>
        </w:rPr>
        <w:t>3GPP TSG RAN WG1 Meeting #95</w:t>
      </w:r>
      <w:r w:rsidR="001B1E04" w:rsidRPr="00A71B3A">
        <w:rPr>
          <w:sz w:val="28"/>
          <w:szCs w:val="28"/>
        </w:rPr>
        <w:tab/>
      </w:r>
      <w:r w:rsidR="004E0E7A" w:rsidRPr="00A71B3A">
        <w:rPr>
          <w:sz w:val="28"/>
          <w:szCs w:val="28"/>
        </w:rPr>
        <w:t xml:space="preserve">   </w:t>
      </w:r>
      <w:r w:rsidR="00047A44" w:rsidRPr="00A71B3A">
        <w:rPr>
          <w:sz w:val="28"/>
          <w:szCs w:val="28"/>
        </w:rPr>
        <w:t xml:space="preserve">                    </w:t>
      </w:r>
      <w:r w:rsidR="00344B57" w:rsidRPr="00A71B3A">
        <w:rPr>
          <w:sz w:val="28"/>
          <w:szCs w:val="28"/>
        </w:rPr>
        <w:t>R1-1812861</w:t>
      </w:r>
    </w:p>
    <w:p w:rsidR="00616831" w:rsidRPr="00A71B3A" w:rsidRDefault="005A01EC" w:rsidP="00702AD5">
      <w:pPr>
        <w:pStyle w:val="3GPPHeader"/>
        <w:spacing w:after="60"/>
        <w:rPr>
          <w:sz w:val="28"/>
          <w:szCs w:val="28"/>
        </w:rPr>
      </w:pPr>
      <w:r w:rsidRPr="00A71B3A">
        <w:rPr>
          <w:sz w:val="28"/>
          <w:szCs w:val="28"/>
        </w:rPr>
        <w:t>Spokane, USA, November 12</w:t>
      </w:r>
      <w:r w:rsidRPr="00A71B3A">
        <w:rPr>
          <w:sz w:val="28"/>
          <w:szCs w:val="28"/>
          <w:vertAlign w:val="superscript"/>
        </w:rPr>
        <w:t>th</w:t>
      </w:r>
      <w:r w:rsidRPr="00A71B3A">
        <w:rPr>
          <w:sz w:val="28"/>
          <w:szCs w:val="28"/>
        </w:rPr>
        <w:t xml:space="preserve"> – 16</w:t>
      </w:r>
      <w:r w:rsidRPr="00A71B3A">
        <w:rPr>
          <w:sz w:val="28"/>
          <w:szCs w:val="28"/>
          <w:vertAlign w:val="superscript"/>
        </w:rPr>
        <w:t>th</w:t>
      </w:r>
      <w:r w:rsidRPr="00A71B3A">
        <w:rPr>
          <w:sz w:val="28"/>
          <w:szCs w:val="28"/>
        </w:rPr>
        <w:t>, 2018</w:t>
      </w:r>
    </w:p>
    <w:p w:rsidR="00875E94" w:rsidRDefault="00875E94" w:rsidP="00700F24">
      <w:pPr>
        <w:pStyle w:val="TdocHeader2"/>
        <w:pBdr>
          <w:bottom w:val="single" w:sz="6" w:space="1" w:color="auto"/>
        </w:pBdr>
        <w:spacing w:after="120"/>
        <w:rPr>
          <w:sz w:val="24"/>
        </w:rPr>
      </w:pPr>
    </w:p>
    <w:p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275941" w:rsidRPr="00275941">
        <w:rPr>
          <w:sz w:val="24"/>
        </w:rPr>
        <w:t>Remaining issues with Rel. 15 NR UE features</w:t>
      </w:r>
    </w:p>
    <w:p w:rsidR="00D52BF3" w:rsidRPr="00B208AD" w:rsidRDefault="00D52BF3" w:rsidP="00700F24">
      <w:pPr>
        <w:pStyle w:val="TdocHeader2"/>
        <w:spacing w:after="120"/>
        <w:rPr>
          <w:sz w:val="24"/>
        </w:rPr>
      </w:pPr>
      <w:r w:rsidRPr="00B208AD">
        <w:rPr>
          <w:sz w:val="24"/>
        </w:rPr>
        <w:t>Agenda Item:</w:t>
      </w:r>
      <w:r w:rsidRPr="00B208AD">
        <w:rPr>
          <w:sz w:val="24"/>
        </w:rPr>
        <w:tab/>
      </w:r>
      <w:r w:rsidR="00275941" w:rsidRPr="00275941">
        <w:rPr>
          <w:sz w:val="24"/>
        </w:rPr>
        <w:t>7.1.7</w:t>
      </w:r>
    </w:p>
    <w:p w:rsidR="00D52BF3" w:rsidRPr="00B208AD" w:rsidRDefault="00D52BF3" w:rsidP="00700F24">
      <w:pPr>
        <w:pStyle w:val="TdocHeader2"/>
        <w:spacing w:after="120"/>
        <w:rPr>
          <w:sz w:val="24"/>
        </w:rPr>
      </w:pPr>
      <w:r w:rsidRPr="00B208AD">
        <w:rPr>
          <w:sz w:val="24"/>
        </w:rPr>
        <w:t>Document for:</w:t>
      </w:r>
      <w:r w:rsidRPr="00B208AD">
        <w:rPr>
          <w:sz w:val="24"/>
        </w:rPr>
        <w:tab/>
      </w:r>
      <w:r w:rsidR="0043000C" w:rsidRPr="0043000C">
        <w:rPr>
          <w:sz w:val="24"/>
        </w:rPr>
        <w:t>Discussion/Approval</w:t>
      </w:r>
    </w:p>
    <w:bookmarkEnd w:id="0"/>
    <w:bookmarkEnd w:id="1"/>
    <w:p w:rsidR="001D7377" w:rsidRDefault="001D7377" w:rsidP="001D7377">
      <w:pPr>
        <w:pStyle w:val="Heading1"/>
      </w:pPr>
      <w:r w:rsidRPr="00183CB7">
        <w:t>Introduction</w:t>
      </w:r>
    </w:p>
    <w:p w:rsidR="007D043C" w:rsidRDefault="007D043C" w:rsidP="00B71D00">
      <w:pPr>
        <w:jc w:val="both"/>
        <w:rPr>
          <w:lang w:val="en-GB"/>
        </w:rPr>
      </w:pPr>
      <w:r>
        <w:rPr>
          <w:lang w:val="en-GB"/>
        </w:rPr>
        <w:t>At the last RAN1 #94bis meeting, RAN1 made the following agreement:</w:t>
      </w:r>
    </w:p>
    <w:tbl>
      <w:tblPr>
        <w:tblStyle w:val="TableGrid"/>
        <w:tblW w:w="0" w:type="auto"/>
        <w:tblLook w:val="04A0" w:firstRow="1" w:lastRow="0" w:firstColumn="1" w:lastColumn="0" w:noHBand="0" w:noVBand="1"/>
      </w:tblPr>
      <w:tblGrid>
        <w:gridCol w:w="9962"/>
      </w:tblGrid>
      <w:tr w:rsidR="007D043C" w:rsidRPr="007D043C" w:rsidTr="007D043C">
        <w:tc>
          <w:tcPr>
            <w:tcW w:w="9962" w:type="dxa"/>
          </w:tcPr>
          <w:p w:rsidR="007D043C" w:rsidRPr="007D043C" w:rsidRDefault="007D043C" w:rsidP="007D043C">
            <w:pPr>
              <w:rPr>
                <w:rFonts w:ascii="Calibri" w:eastAsia="Batang" w:hAnsi="Calibri"/>
                <w:b/>
                <w:sz w:val="22"/>
                <w:lang w:eastAsia="x-none"/>
              </w:rPr>
            </w:pPr>
            <w:r w:rsidRPr="007D043C">
              <w:rPr>
                <w:rFonts w:ascii="Calibri" w:hAnsi="Calibri"/>
                <w:b/>
                <w:sz w:val="22"/>
                <w:highlight w:val="darkYellow"/>
                <w:lang w:eastAsia="x-none"/>
              </w:rPr>
              <w:t>Working Assumptio</w:t>
            </w:r>
            <w:r>
              <w:rPr>
                <w:rFonts w:ascii="Calibri" w:hAnsi="Calibri"/>
                <w:b/>
                <w:sz w:val="22"/>
                <w:highlight w:val="darkYellow"/>
                <w:lang w:eastAsia="x-none"/>
              </w:rPr>
              <w:t>n:</w:t>
            </w:r>
          </w:p>
          <w:p w:rsidR="007D043C" w:rsidRPr="007D043C" w:rsidRDefault="007D043C" w:rsidP="007D043C">
            <w:pPr>
              <w:rPr>
                <w:rFonts w:ascii="Calibri" w:hAnsi="Calibri"/>
                <w:sz w:val="22"/>
                <w:lang w:eastAsia="ja-JP"/>
              </w:rPr>
            </w:pPr>
            <w:r w:rsidRPr="007D043C">
              <w:rPr>
                <w:rFonts w:ascii="Calibri" w:hAnsi="Calibri"/>
                <w:sz w:val="22"/>
                <w:lang w:eastAsia="ja-JP"/>
              </w:rPr>
              <w:t xml:space="preserve">For PDSCH mapping Type A, when </w:t>
            </w:r>
            <w:r w:rsidRPr="007D043C">
              <w:rPr>
                <w:rFonts w:ascii="Calibri" w:hAnsi="Calibri"/>
                <w:i/>
                <w:iCs/>
                <w:sz w:val="22"/>
                <w:lang w:eastAsia="ja-JP"/>
              </w:rPr>
              <w:t>lte-CRS-ToMatchAround</w:t>
            </w:r>
            <w:r w:rsidRPr="007D043C">
              <w:rPr>
                <w:rFonts w:ascii="Calibri" w:hAnsi="Calibri"/>
                <w:sz w:val="22"/>
                <w:lang w:eastAsia="ja-JP"/>
              </w:rPr>
              <w:t xml:space="preserve"> is configured and </w:t>
            </w:r>
            <w:r w:rsidRPr="007D043C">
              <w:rPr>
                <w:rFonts w:ascii="Calibri" w:hAnsi="Calibri"/>
                <w:i/>
                <w:iCs/>
                <w:sz w:val="22"/>
                <w:lang w:eastAsia="ja-JP"/>
              </w:rPr>
              <w:t xml:space="preserve">dmrs-AdditionalPosition=’pos1’, </w:t>
            </w:r>
            <w:r w:rsidRPr="007D043C">
              <w:rPr>
                <w:rFonts w:ascii="Calibri" w:hAnsi="Calibri"/>
                <w:sz w:val="22"/>
                <w:lang w:eastAsia="ja-JP"/>
              </w:rPr>
              <w:t xml:space="preserve">and single-symbol DMRS, and if any DMRS symbol and any symbol containing common RS as indicated by </w:t>
            </w:r>
            <w:r w:rsidRPr="007D043C">
              <w:rPr>
                <w:rFonts w:ascii="Calibri" w:hAnsi="Calibri"/>
                <w:i/>
                <w:sz w:val="22"/>
                <w:lang w:eastAsia="ja-JP"/>
              </w:rPr>
              <w:t>lte-CRS-ToMatchAround</w:t>
            </w:r>
            <w:r w:rsidRPr="007D043C">
              <w:rPr>
                <w:rFonts w:ascii="Calibri" w:hAnsi="Calibri"/>
                <w:sz w:val="22"/>
                <w:lang w:eastAsia="ja-JP"/>
              </w:rPr>
              <w:t xml:space="preserve"> is the same:  </w:t>
            </w:r>
          </w:p>
          <w:p w:rsidR="007D043C" w:rsidRPr="007D043C" w:rsidRDefault="007D043C" w:rsidP="007D043C">
            <w:pPr>
              <w:pStyle w:val="ListParagraph"/>
              <w:numPr>
                <w:ilvl w:val="0"/>
                <w:numId w:val="14"/>
              </w:numPr>
              <w:overflowPunct w:val="0"/>
              <w:autoSpaceDE w:val="0"/>
              <w:autoSpaceDN w:val="0"/>
              <w:adjustRightInd w:val="0"/>
              <w:spacing w:line="256" w:lineRule="auto"/>
              <w:contextualSpacing/>
              <w:textAlignment w:val="baseline"/>
              <w:rPr>
                <w:sz w:val="22"/>
                <w:lang w:eastAsia="ja-JP"/>
              </w:rPr>
            </w:pPr>
            <w:r w:rsidRPr="007D043C">
              <w:rPr>
                <w:sz w:val="22"/>
                <w:lang w:eastAsia="ja-JP"/>
              </w:rPr>
              <w:t xml:space="preserve">then the DM-RS positions for PDSCH duration (as measured from the beginning of the slot) of 13 and 14 are </w:t>
            </w:r>
            <w:r w:rsidRPr="007D043C">
              <w:rPr>
                <w:i/>
                <w:iCs/>
                <w:sz w:val="22"/>
                <w:lang w:eastAsia="ja-JP"/>
              </w:rPr>
              <w:t>l</w:t>
            </w:r>
            <w:r w:rsidRPr="007D043C">
              <w:rPr>
                <w:i/>
                <w:iCs/>
                <w:sz w:val="22"/>
                <w:vertAlign w:val="subscript"/>
                <w:lang w:eastAsia="ja-JP"/>
              </w:rPr>
              <w:t>0</w:t>
            </w:r>
            <w:r w:rsidRPr="007D043C">
              <w:rPr>
                <w:i/>
                <w:iCs/>
                <w:sz w:val="22"/>
                <w:lang w:eastAsia="ja-JP"/>
              </w:rPr>
              <w:t>,12</w:t>
            </w:r>
            <w:r w:rsidRPr="007D043C">
              <w:rPr>
                <w:sz w:val="22"/>
                <w:lang w:eastAsia="ja-JP"/>
              </w:rPr>
              <w:t xml:space="preserve"> instead of the default </w:t>
            </w:r>
            <w:r w:rsidRPr="007D043C">
              <w:rPr>
                <w:i/>
                <w:iCs/>
                <w:sz w:val="22"/>
                <w:lang w:eastAsia="ja-JP"/>
              </w:rPr>
              <w:t>l</w:t>
            </w:r>
            <w:r w:rsidRPr="007D043C">
              <w:rPr>
                <w:i/>
                <w:iCs/>
                <w:sz w:val="22"/>
                <w:vertAlign w:val="subscript"/>
                <w:lang w:eastAsia="ja-JP"/>
              </w:rPr>
              <w:t xml:space="preserve">0 </w:t>
            </w:r>
            <w:r w:rsidRPr="007D043C">
              <w:rPr>
                <w:i/>
                <w:iCs/>
                <w:sz w:val="22"/>
                <w:lang w:eastAsia="ja-JP"/>
              </w:rPr>
              <w:t xml:space="preserve">, 11. </w:t>
            </w:r>
            <w:r w:rsidRPr="007D043C">
              <w:rPr>
                <w:sz w:val="22"/>
                <w:lang w:eastAsia="ja-JP"/>
              </w:rPr>
              <w:t>The PDSCH processing time in Table 5.3-1 is increased from 13  to 14 in this case</w:t>
            </w:r>
          </w:p>
          <w:p w:rsidR="007D043C" w:rsidRPr="007D043C" w:rsidRDefault="007D043C" w:rsidP="007D043C">
            <w:pPr>
              <w:pStyle w:val="ListParagraph"/>
              <w:numPr>
                <w:ilvl w:val="0"/>
                <w:numId w:val="14"/>
              </w:numPr>
              <w:overflowPunct w:val="0"/>
              <w:autoSpaceDE w:val="0"/>
              <w:autoSpaceDN w:val="0"/>
              <w:adjustRightInd w:val="0"/>
              <w:spacing w:line="256" w:lineRule="auto"/>
              <w:contextualSpacing/>
              <w:textAlignment w:val="baseline"/>
              <w:rPr>
                <w:sz w:val="22"/>
                <w:lang w:eastAsia="ja-JP"/>
              </w:rPr>
            </w:pPr>
            <w:r w:rsidRPr="007D043C">
              <w:rPr>
                <w:i/>
                <w:iCs/>
                <w:sz w:val="22"/>
                <w:lang w:eastAsia="ja-JP"/>
              </w:rPr>
              <w:t>l</w:t>
            </w:r>
            <w:r w:rsidRPr="007D043C">
              <w:rPr>
                <w:i/>
                <w:iCs/>
                <w:sz w:val="22"/>
                <w:vertAlign w:val="subscript"/>
                <w:lang w:eastAsia="ja-JP"/>
              </w:rPr>
              <w:t>0</w:t>
            </w:r>
            <w:r w:rsidRPr="007D043C">
              <w:rPr>
                <w:i/>
                <w:iCs/>
                <w:sz w:val="22"/>
                <w:lang w:eastAsia="ja-JP"/>
              </w:rPr>
              <w:t>=3</w:t>
            </w:r>
          </w:p>
          <w:p w:rsidR="007D043C" w:rsidRPr="007D043C" w:rsidRDefault="007D043C" w:rsidP="00B71D00">
            <w:pPr>
              <w:rPr>
                <w:rFonts w:ascii="Calibri" w:hAnsi="Calibri"/>
                <w:sz w:val="22"/>
                <w:lang w:eastAsia="x-none"/>
              </w:rPr>
            </w:pPr>
            <w:r w:rsidRPr="007D043C">
              <w:rPr>
                <w:rFonts w:ascii="Calibri" w:hAnsi="Calibri"/>
                <w:sz w:val="22"/>
                <w:lang w:eastAsia="x-none"/>
              </w:rPr>
              <w:t>This feature is UE optional</w:t>
            </w:r>
          </w:p>
        </w:tc>
      </w:tr>
    </w:tbl>
    <w:p w:rsidR="00F87B49" w:rsidRDefault="00F87B49" w:rsidP="00B71D00">
      <w:pPr>
        <w:jc w:val="both"/>
        <w:rPr>
          <w:lang w:val="en-GB"/>
        </w:rPr>
      </w:pPr>
    </w:p>
    <w:p w:rsidR="00EC0DB5" w:rsidRDefault="00F87B49" w:rsidP="00B71D00">
      <w:pPr>
        <w:jc w:val="both"/>
        <w:rPr>
          <w:lang w:val="en-GB"/>
        </w:rPr>
      </w:pPr>
      <w:r>
        <w:rPr>
          <w:lang w:val="en-GB"/>
        </w:rPr>
        <w:t>This agreement is not</w:t>
      </w:r>
      <w:r w:rsidR="00EC0DB5">
        <w:rPr>
          <w:lang w:val="en-GB"/>
        </w:rPr>
        <w:t xml:space="preserve"> </w:t>
      </w:r>
      <w:r>
        <w:rPr>
          <w:lang w:val="en-GB"/>
        </w:rPr>
        <w:t>correctly implemented in the latest RAN1 NR UE feature list</w:t>
      </w:r>
      <w:r w:rsidR="00C32CE9">
        <w:rPr>
          <w:lang w:val="en-GB"/>
        </w:rPr>
        <w:t xml:space="preserve"> </w:t>
      </w:r>
      <w:r w:rsidR="00C32CE9">
        <w:rPr>
          <w:lang w:val="en-GB"/>
        </w:rPr>
        <w:fldChar w:fldCharType="begin"/>
      </w:r>
      <w:r w:rsidR="00C32CE9">
        <w:rPr>
          <w:lang w:val="en-GB"/>
        </w:rPr>
        <w:instrText xml:space="preserve"> REF _Ref528944519 \r \h </w:instrText>
      </w:r>
      <w:r w:rsidR="00C32CE9">
        <w:rPr>
          <w:lang w:val="en-GB"/>
        </w:rPr>
      </w:r>
      <w:r w:rsidR="00C32CE9">
        <w:rPr>
          <w:lang w:val="en-GB"/>
        </w:rPr>
        <w:fldChar w:fldCharType="separate"/>
      </w:r>
      <w:r w:rsidR="0071525A">
        <w:rPr>
          <w:lang w:val="en-GB"/>
        </w:rPr>
        <w:t>[1]</w:t>
      </w:r>
      <w:r w:rsidR="00C32CE9">
        <w:rPr>
          <w:lang w:val="en-GB"/>
        </w:rPr>
        <w:fldChar w:fldCharType="end"/>
      </w:r>
      <w:r>
        <w:rPr>
          <w:lang w:val="en-GB"/>
        </w:rPr>
        <w:t xml:space="preserve">. Consequently, this contribution proposes to correct the RAN1 NR UE feature list in regard to the above agreement. Furthermore, it is motivated and proposed to make this feature mandatory with capability signaling. </w:t>
      </w:r>
    </w:p>
    <w:p w:rsidR="006F1AB8" w:rsidRDefault="0071525A" w:rsidP="0071525A">
      <w:pPr>
        <w:pStyle w:val="Heading1"/>
      </w:pPr>
      <w:r w:rsidRPr="0071525A">
        <w:t>Remaining issues with Rel. 15 NR UE features</w:t>
      </w:r>
    </w:p>
    <w:p w:rsidR="004608B6" w:rsidRDefault="00EC3F78" w:rsidP="00047A44">
      <w:pPr>
        <w:jc w:val="both"/>
        <w:rPr>
          <w:szCs w:val="22"/>
        </w:rPr>
      </w:pPr>
      <w:r>
        <w:rPr>
          <w:szCs w:val="22"/>
        </w:rPr>
        <w:t xml:space="preserve">Before </w:t>
      </w:r>
      <w:r w:rsidRPr="00842492">
        <w:rPr>
          <w:szCs w:val="22"/>
        </w:rPr>
        <w:t xml:space="preserve">RAN1 #94bis, when a UE was configured with additional DMRS symbols, the PDSCH duration was restricted on carriers where LTE CRS is present. </w:t>
      </w:r>
      <w:r w:rsidR="00842492" w:rsidRPr="00842492">
        <w:rPr>
          <w:szCs w:val="22"/>
        </w:rPr>
        <w:t xml:space="preserve">This is depicted in </w:t>
      </w:r>
      <w:r w:rsidR="00842492" w:rsidRPr="00842492">
        <w:rPr>
          <w:szCs w:val="22"/>
        </w:rPr>
        <w:fldChar w:fldCharType="begin"/>
      </w:r>
      <w:r w:rsidR="00842492" w:rsidRPr="00842492">
        <w:rPr>
          <w:szCs w:val="22"/>
        </w:rPr>
        <w:instrText xml:space="preserve"> REF _Ref528942948 \h  \* MERGEFORMAT </w:instrText>
      </w:r>
      <w:r w:rsidR="00842492" w:rsidRPr="00842492">
        <w:rPr>
          <w:szCs w:val="22"/>
        </w:rPr>
      </w:r>
      <w:r w:rsidR="00842492" w:rsidRPr="00842492">
        <w:rPr>
          <w:szCs w:val="22"/>
        </w:rPr>
        <w:fldChar w:fldCharType="separate"/>
      </w:r>
      <w:r w:rsidR="0071525A" w:rsidRPr="0071525A">
        <w:rPr>
          <w:szCs w:val="22"/>
        </w:rPr>
        <w:t>Figure 1</w:t>
      </w:r>
      <w:r w:rsidR="00842492" w:rsidRPr="00842492">
        <w:rPr>
          <w:szCs w:val="22"/>
        </w:rPr>
        <w:fldChar w:fldCharType="end"/>
      </w:r>
      <w:r w:rsidR="00842492" w:rsidRPr="00842492">
        <w:rPr>
          <w:szCs w:val="22"/>
        </w:rPr>
        <w:t xml:space="preserve"> and </w:t>
      </w:r>
      <w:r w:rsidR="00842492" w:rsidRPr="00842492">
        <w:rPr>
          <w:szCs w:val="22"/>
        </w:rPr>
        <w:fldChar w:fldCharType="begin"/>
      </w:r>
      <w:r w:rsidR="00842492" w:rsidRPr="00842492">
        <w:rPr>
          <w:szCs w:val="22"/>
        </w:rPr>
        <w:instrText xml:space="preserve"> REF _Ref528942950 \h  \* MERGEFORMAT </w:instrText>
      </w:r>
      <w:r w:rsidR="00842492" w:rsidRPr="00842492">
        <w:rPr>
          <w:szCs w:val="22"/>
        </w:rPr>
      </w:r>
      <w:r w:rsidR="00842492" w:rsidRPr="00842492">
        <w:rPr>
          <w:szCs w:val="22"/>
        </w:rPr>
        <w:fldChar w:fldCharType="separate"/>
      </w:r>
      <w:r w:rsidR="0071525A" w:rsidRPr="0071525A">
        <w:rPr>
          <w:szCs w:val="22"/>
        </w:rPr>
        <w:t>Figure 2</w:t>
      </w:r>
      <w:r w:rsidR="00842492" w:rsidRPr="00842492">
        <w:rPr>
          <w:szCs w:val="22"/>
        </w:rPr>
        <w:fldChar w:fldCharType="end"/>
      </w:r>
      <w:r w:rsidR="00842492" w:rsidRPr="00842492">
        <w:rPr>
          <w:szCs w:val="22"/>
        </w:rPr>
        <w:t xml:space="preserve"> below. During RAN1 #94bis, a new UE </w:t>
      </w:r>
      <w:r w:rsidR="0071525A" w:rsidRPr="00842492">
        <w:rPr>
          <w:szCs w:val="22"/>
        </w:rPr>
        <w:t>behavior</w:t>
      </w:r>
      <w:r w:rsidR="00842492" w:rsidRPr="00842492">
        <w:rPr>
          <w:szCs w:val="22"/>
        </w:rPr>
        <w:t xml:space="preserve"> was agreed that avoids collision of additional NR DMRS with LTE CRS as illustrated in </w:t>
      </w:r>
      <w:r w:rsidR="00842492" w:rsidRPr="00842492">
        <w:rPr>
          <w:szCs w:val="22"/>
        </w:rPr>
        <w:fldChar w:fldCharType="begin"/>
      </w:r>
      <w:r w:rsidR="00842492" w:rsidRPr="00842492">
        <w:rPr>
          <w:szCs w:val="22"/>
        </w:rPr>
        <w:instrText xml:space="preserve"> REF _Ref528942995 \h </w:instrText>
      </w:r>
      <w:r w:rsidR="00842492">
        <w:rPr>
          <w:szCs w:val="22"/>
        </w:rPr>
        <w:instrText xml:space="preserve"> \* MERGEFORMAT </w:instrText>
      </w:r>
      <w:r w:rsidR="00842492" w:rsidRPr="00842492">
        <w:rPr>
          <w:szCs w:val="22"/>
        </w:rPr>
      </w:r>
      <w:r w:rsidR="00842492" w:rsidRPr="00842492">
        <w:rPr>
          <w:szCs w:val="22"/>
        </w:rPr>
        <w:fldChar w:fldCharType="separate"/>
      </w:r>
      <w:r w:rsidR="0071525A" w:rsidRPr="0071525A">
        <w:rPr>
          <w:szCs w:val="22"/>
        </w:rPr>
        <w:t>Figure 3</w:t>
      </w:r>
      <w:r w:rsidR="00842492" w:rsidRPr="00842492">
        <w:rPr>
          <w:szCs w:val="22"/>
        </w:rPr>
        <w:fldChar w:fldCharType="end"/>
      </w:r>
      <w:r w:rsidR="00842492" w:rsidRPr="00842492">
        <w:rPr>
          <w:szCs w:val="22"/>
        </w:rPr>
        <w:t>.</w:t>
      </w:r>
      <w:r w:rsidR="00842492">
        <w:rPr>
          <w:szCs w:val="22"/>
        </w:rPr>
        <w:t xml:space="preserve"> </w:t>
      </w:r>
    </w:p>
    <w:p w:rsidR="00842492" w:rsidRDefault="00842492" w:rsidP="00ED3DCA">
      <w:pPr>
        <w:jc w:val="both"/>
        <w:rPr>
          <w:szCs w:val="22"/>
        </w:rPr>
      </w:pPr>
      <w:r>
        <w:rPr>
          <w:szCs w:val="22"/>
        </w:rPr>
        <w:t xml:space="preserve">This feature is currently captured as feature group </w:t>
      </w:r>
      <w:r w:rsidRPr="00842492">
        <w:rPr>
          <w:szCs w:val="22"/>
        </w:rPr>
        <w:t>2-6b</w:t>
      </w:r>
      <w:r>
        <w:rPr>
          <w:szCs w:val="22"/>
        </w:rPr>
        <w:t xml:space="preserve"> under the </w:t>
      </w:r>
      <w:r w:rsidRPr="00842492">
        <w:rPr>
          <w:i/>
          <w:szCs w:val="22"/>
        </w:rPr>
        <w:t>Basic downlink DMRS for scheduling type B</w:t>
      </w:r>
      <w:r>
        <w:t xml:space="preserve"> feature group</w:t>
      </w:r>
      <w:r w:rsidR="00F83EB6">
        <w:t xml:space="preserve">, see </w:t>
      </w:r>
      <w:r w:rsidR="00ED3DCA">
        <w:fldChar w:fldCharType="begin"/>
      </w:r>
      <w:r w:rsidR="00ED3DCA">
        <w:instrText xml:space="preserve"> REF _Ref528943348 \h  \* MERGEFORMAT </w:instrText>
      </w:r>
      <w:r w:rsidR="00ED3DCA">
        <w:fldChar w:fldCharType="separate"/>
      </w:r>
      <w:r w:rsidR="0071525A">
        <w:t>Table 1</w:t>
      </w:r>
      <w:r w:rsidR="00ED3DCA">
        <w:fldChar w:fldCharType="end"/>
      </w:r>
      <w:r>
        <w:t xml:space="preserve">. </w:t>
      </w:r>
      <w:r w:rsidR="00ED3DCA">
        <w:t xml:space="preserve">However, this feature pertains to PDSCH mapping type A as shown in Figures 1-3. For </w:t>
      </w:r>
      <w:r w:rsidR="00ED3DCA" w:rsidRPr="00ED3DCA">
        <w:rPr>
          <w:szCs w:val="22"/>
        </w:rPr>
        <w:t xml:space="preserve">PDSCH mapping type B, additional NR DMRS symbols never collide with LTE CRS, cf. </w:t>
      </w:r>
      <w:r w:rsidR="00ED3DCA" w:rsidRPr="00ED3DCA">
        <w:rPr>
          <w:szCs w:val="22"/>
        </w:rPr>
        <w:fldChar w:fldCharType="begin"/>
      </w:r>
      <w:r w:rsidR="00ED3DCA" w:rsidRPr="00ED3DCA">
        <w:rPr>
          <w:szCs w:val="22"/>
        </w:rPr>
        <w:instrText xml:space="preserve"> REF _Ref528943450 \h </w:instrText>
      </w:r>
      <w:r w:rsidR="00ED3DCA">
        <w:rPr>
          <w:szCs w:val="22"/>
        </w:rPr>
        <w:instrText xml:space="preserve"> \* MERGEFORMAT </w:instrText>
      </w:r>
      <w:r w:rsidR="00ED3DCA" w:rsidRPr="00ED3DCA">
        <w:rPr>
          <w:szCs w:val="22"/>
        </w:rPr>
      </w:r>
      <w:r w:rsidR="00ED3DCA" w:rsidRPr="00ED3DCA">
        <w:rPr>
          <w:szCs w:val="22"/>
        </w:rPr>
        <w:fldChar w:fldCharType="separate"/>
      </w:r>
      <w:r w:rsidR="0071525A" w:rsidRPr="0071525A">
        <w:rPr>
          <w:szCs w:val="22"/>
        </w:rPr>
        <w:t>Figure 4</w:t>
      </w:r>
      <w:r w:rsidR="00ED3DCA" w:rsidRPr="00ED3DCA">
        <w:rPr>
          <w:szCs w:val="22"/>
        </w:rPr>
        <w:fldChar w:fldCharType="end"/>
      </w:r>
      <w:r w:rsidR="00ED3DCA" w:rsidRPr="00ED3DCA">
        <w:rPr>
          <w:szCs w:val="22"/>
        </w:rPr>
        <w:t>.</w:t>
      </w:r>
      <w:r w:rsidR="00ED3DCA">
        <w:rPr>
          <w:szCs w:val="22"/>
        </w:rPr>
        <w:t xml:space="preserve"> Hence, the new feature group should be a subset of </w:t>
      </w:r>
      <w:r w:rsidR="00ED3DCA" w:rsidRPr="00ED3DCA">
        <w:rPr>
          <w:i/>
          <w:szCs w:val="22"/>
        </w:rPr>
        <w:t>Basic downlink DMRS for scheduling type A</w:t>
      </w:r>
      <w:r w:rsidR="00ED3DCA">
        <w:rPr>
          <w:szCs w:val="22"/>
        </w:rPr>
        <w:t xml:space="preserve"> and be labeled 2-5a as is the case in </w:t>
      </w:r>
      <w:r w:rsidR="00ED3DCA">
        <w:rPr>
          <w:szCs w:val="22"/>
        </w:rPr>
        <w:fldChar w:fldCharType="begin"/>
      </w:r>
      <w:r w:rsidR="00ED3DCA">
        <w:rPr>
          <w:szCs w:val="22"/>
        </w:rPr>
        <w:instrText xml:space="preserve"> REF _Ref528943348 \h  \* MERGEFORMAT </w:instrText>
      </w:r>
      <w:r w:rsidR="00ED3DCA">
        <w:rPr>
          <w:szCs w:val="22"/>
        </w:rPr>
      </w:r>
      <w:r w:rsidR="00ED3DCA">
        <w:rPr>
          <w:szCs w:val="22"/>
        </w:rPr>
        <w:fldChar w:fldCharType="separate"/>
      </w:r>
      <w:r w:rsidR="0071525A" w:rsidRPr="0071525A">
        <w:rPr>
          <w:szCs w:val="22"/>
        </w:rPr>
        <w:t>Table 1</w:t>
      </w:r>
      <w:r w:rsidR="00ED3DCA">
        <w:rPr>
          <w:szCs w:val="22"/>
        </w:rPr>
        <w:fldChar w:fldCharType="end"/>
      </w:r>
      <w:r w:rsidR="00ED3DCA">
        <w:rPr>
          <w:szCs w:val="22"/>
        </w:rPr>
        <w:t xml:space="preserve"> below. </w:t>
      </w:r>
      <w:r w:rsidR="00D338DD">
        <w:rPr>
          <w:szCs w:val="22"/>
        </w:rPr>
        <w:t xml:space="preserve">Furthermore, the prerequisite feature group is 2-5 </w:t>
      </w:r>
      <w:r w:rsidR="00D338DD" w:rsidRPr="00842492">
        <w:rPr>
          <w:i/>
          <w:szCs w:val="22"/>
        </w:rPr>
        <w:t>Basic dow</w:t>
      </w:r>
      <w:r w:rsidR="00202BFF">
        <w:rPr>
          <w:i/>
          <w:szCs w:val="22"/>
        </w:rPr>
        <w:t>nlink DMRS for scheduling type A</w:t>
      </w:r>
      <w:r w:rsidR="00D338DD">
        <w:rPr>
          <w:i/>
          <w:szCs w:val="22"/>
        </w:rPr>
        <w:t>.</w:t>
      </w:r>
    </w:p>
    <w:p w:rsidR="00ED3DCA" w:rsidRPr="00ED3DCA" w:rsidRDefault="00ED3DCA" w:rsidP="00ED3DCA">
      <w:pPr>
        <w:jc w:val="both"/>
        <w:rPr>
          <w:szCs w:val="22"/>
        </w:rPr>
      </w:pPr>
      <w:r>
        <w:rPr>
          <w:szCs w:val="22"/>
        </w:rPr>
        <w:t xml:space="preserve">Moreover, feature group 5-28 </w:t>
      </w:r>
      <w:r w:rsidRPr="00ED3DCA">
        <w:rPr>
          <w:i/>
          <w:szCs w:val="22"/>
        </w:rPr>
        <w:t>Rate-matching around LTE CRS</w:t>
      </w:r>
      <w:r>
        <w:rPr>
          <w:szCs w:val="22"/>
        </w:rPr>
        <w:t xml:space="preserve"> is agreed by RAN as mandatory with capability signaling. It is somewhat inconsistent to specify rate matching around LTE CRS as mandatory but leaving the UE </w:t>
      </w:r>
      <w:r>
        <w:rPr>
          <w:szCs w:val="22"/>
        </w:rPr>
        <w:lastRenderedPageBreak/>
        <w:t xml:space="preserve">behavior with respect to NR DMRS optional. We thus propose to make the feature 2-5a (formerly 2-6b) mandatory with capability signaling. This still allows the UE to signal its capability for LTE CRS rate matching and </w:t>
      </w:r>
    </w:p>
    <w:p w:rsidR="00E65D8C" w:rsidRDefault="006B0436" w:rsidP="00E65D8C">
      <w:pPr>
        <w:keepNext/>
        <w:jc w:val="center"/>
      </w:pPr>
      <w:r w:rsidRPr="006B0436">
        <w:rPr>
          <w:noProof/>
        </w:rPr>
        <w:drawing>
          <wp:inline distT="0" distB="0" distL="0" distR="0" wp14:anchorId="7CDBBA24" wp14:editId="39959707">
            <wp:extent cx="6332220" cy="3123565"/>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332220" cy="3123565"/>
                    </a:xfrm>
                    <a:prstGeom prst="rect">
                      <a:avLst/>
                    </a:prstGeom>
                  </pic:spPr>
                </pic:pic>
              </a:graphicData>
            </a:graphic>
          </wp:inline>
        </w:drawing>
      </w:r>
    </w:p>
    <w:p w:rsidR="00EC3F78" w:rsidRDefault="00E65D8C" w:rsidP="00E65D8C">
      <w:pPr>
        <w:pStyle w:val="Caption"/>
        <w:jc w:val="center"/>
        <w:rPr>
          <w:b w:val="0"/>
        </w:rPr>
      </w:pPr>
      <w:bookmarkStart w:id="3" w:name="_Ref528942948"/>
      <w:r>
        <w:t xml:space="preserve">Figure </w:t>
      </w:r>
      <w:r w:rsidR="008E1FDA">
        <w:rPr>
          <w:noProof/>
        </w:rPr>
        <w:fldChar w:fldCharType="begin"/>
      </w:r>
      <w:r w:rsidR="008E1FDA">
        <w:rPr>
          <w:noProof/>
        </w:rPr>
        <w:instrText xml:space="preserve"> SEQ Figure \* ARABIC </w:instrText>
      </w:r>
      <w:r w:rsidR="008E1FDA">
        <w:rPr>
          <w:noProof/>
        </w:rPr>
        <w:fldChar w:fldCharType="separate"/>
      </w:r>
      <w:r w:rsidR="0071525A">
        <w:rPr>
          <w:noProof/>
        </w:rPr>
        <w:t>1</w:t>
      </w:r>
      <w:r w:rsidR="008E1FDA">
        <w:rPr>
          <w:noProof/>
        </w:rPr>
        <w:fldChar w:fldCharType="end"/>
      </w:r>
      <w:bookmarkEnd w:id="3"/>
      <w:r>
        <w:t xml:space="preserve">: </w:t>
      </w:r>
      <w:r w:rsidRPr="00E65D8C">
        <w:rPr>
          <w:b w:val="0"/>
        </w:rPr>
        <w:t>Before RAN1 #94bis with 14 symbols PDSCH length</w:t>
      </w:r>
    </w:p>
    <w:p w:rsidR="00E65D8C" w:rsidRPr="00E65D8C" w:rsidRDefault="00E65D8C" w:rsidP="00E65D8C"/>
    <w:p w:rsidR="00E65D8C" w:rsidRDefault="006B0436" w:rsidP="00E65D8C">
      <w:pPr>
        <w:keepNext/>
        <w:jc w:val="center"/>
      </w:pPr>
      <w:r w:rsidRPr="006B0436">
        <w:rPr>
          <w:noProof/>
          <w:szCs w:val="22"/>
        </w:rPr>
        <w:drawing>
          <wp:inline distT="0" distB="0" distL="0" distR="0" wp14:anchorId="1E572F3E" wp14:editId="7B404C7D">
            <wp:extent cx="6277851" cy="3153215"/>
            <wp:effectExtent l="0" t="0" r="8890"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277851" cy="3153215"/>
                    </a:xfrm>
                    <a:prstGeom prst="rect">
                      <a:avLst/>
                    </a:prstGeom>
                  </pic:spPr>
                </pic:pic>
              </a:graphicData>
            </a:graphic>
          </wp:inline>
        </w:drawing>
      </w:r>
    </w:p>
    <w:p w:rsidR="00EC3F78" w:rsidRPr="00E65D8C" w:rsidRDefault="00E65D8C" w:rsidP="00E65D8C">
      <w:pPr>
        <w:pStyle w:val="Caption"/>
        <w:jc w:val="center"/>
        <w:rPr>
          <w:b w:val="0"/>
          <w:szCs w:val="22"/>
        </w:rPr>
      </w:pPr>
      <w:bookmarkStart w:id="4" w:name="_Ref528942950"/>
      <w:r>
        <w:t xml:space="preserve">Figure </w:t>
      </w:r>
      <w:r w:rsidR="008E1FDA">
        <w:rPr>
          <w:noProof/>
        </w:rPr>
        <w:fldChar w:fldCharType="begin"/>
      </w:r>
      <w:r w:rsidR="008E1FDA">
        <w:rPr>
          <w:noProof/>
        </w:rPr>
        <w:instrText xml:space="preserve"> SEQ Figure \* ARABIC </w:instrText>
      </w:r>
      <w:r w:rsidR="008E1FDA">
        <w:rPr>
          <w:noProof/>
        </w:rPr>
        <w:fldChar w:fldCharType="separate"/>
      </w:r>
      <w:r w:rsidR="0071525A">
        <w:rPr>
          <w:noProof/>
        </w:rPr>
        <w:t>2</w:t>
      </w:r>
      <w:r w:rsidR="008E1FDA">
        <w:rPr>
          <w:noProof/>
        </w:rPr>
        <w:fldChar w:fldCharType="end"/>
      </w:r>
      <w:bookmarkEnd w:id="4"/>
      <w:r>
        <w:t xml:space="preserve">: </w:t>
      </w:r>
      <w:r w:rsidRPr="00E65D8C">
        <w:rPr>
          <w:b w:val="0"/>
        </w:rPr>
        <w:t>Before RAN1 #94bis with reduced PDSCH length</w:t>
      </w:r>
    </w:p>
    <w:p w:rsidR="00E65D8C" w:rsidRDefault="006B0436" w:rsidP="00E65D8C">
      <w:pPr>
        <w:keepNext/>
        <w:jc w:val="center"/>
      </w:pPr>
      <w:r w:rsidRPr="006B0436">
        <w:rPr>
          <w:noProof/>
          <w:szCs w:val="22"/>
        </w:rPr>
        <w:lastRenderedPageBreak/>
        <w:drawing>
          <wp:inline distT="0" distB="0" distL="0" distR="0" wp14:anchorId="6EE0974B" wp14:editId="130DE2A1">
            <wp:extent cx="6277851" cy="3153215"/>
            <wp:effectExtent l="0" t="0" r="889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6277851" cy="3153215"/>
                    </a:xfrm>
                    <a:prstGeom prst="rect">
                      <a:avLst/>
                    </a:prstGeom>
                  </pic:spPr>
                </pic:pic>
              </a:graphicData>
            </a:graphic>
          </wp:inline>
        </w:drawing>
      </w:r>
    </w:p>
    <w:p w:rsidR="006B0436" w:rsidRDefault="00E65D8C" w:rsidP="00E65D8C">
      <w:pPr>
        <w:pStyle w:val="Caption"/>
        <w:jc w:val="center"/>
        <w:rPr>
          <w:b w:val="0"/>
          <w:noProof/>
        </w:rPr>
      </w:pPr>
      <w:bookmarkStart w:id="5" w:name="_Ref528942995"/>
      <w:r>
        <w:t xml:space="preserve">Figure </w:t>
      </w:r>
      <w:r w:rsidR="008E1FDA">
        <w:rPr>
          <w:noProof/>
        </w:rPr>
        <w:fldChar w:fldCharType="begin"/>
      </w:r>
      <w:r w:rsidR="008E1FDA">
        <w:rPr>
          <w:noProof/>
        </w:rPr>
        <w:instrText xml:space="preserve"> SEQ Figure \* ARABIC </w:instrText>
      </w:r>
      <w:r w:rsidR="008E1FDA">
        <w:rPr>
          <w:noProof/>
        </w:rPr>
        <w:fldChar w:fldCharType="separate"/>
      </w:r>
      <w:r w:rsidR="0071525A">
        <w:rPr>
          <w:noProof/>
        </w:rPr>
        <w:t>3</w:t>
      </w:r>
      <w:r w:rsidR="008E1FDA">
        <w:rPr>
          <w:noProof/>
        </w:rPr>
        <w:fldChar w:fldCharType="end"/>
      </w:r>
      <w:bookmarkEnd w:id="5"/>
      <w:r>
        <w:t xml:space="preserve">: </w:t>
      </w:r>
      <w:r w:rsidRPr="00E65D8C">
        <w:rPr>
          <w:b w:val="0"/>
        </w:rPr>
        <w:t>After RAN1 #94bis</w:t>
      </w:r>
      <w:r w:rsidRPr="00E65D8C">
        <w:rPr>
          <w:b w:val="0"/>
          <w:noProof/>
        </w:rPr>
        <w:t xml:space="preserve"> with 14 symbols PDSCH length</w:t>
      </w:r>
    </w:p>
    <w:p w:rsidR="00F83EB6" w:rsidRPr="00F83EB6" w:rsidRDefault="00F83EB6" w:rsidP="00F83EB6"/>
    <w:p w:rsidR="00F83EB6" w:rsidRDefault="00F83EB6" w:rsidP="00F83EB6">
      <w:pPr>
        <w:keepNext/>
        <w:jc w:val="center"/>
      </w:pPr>
      <w:r w:rsidRPr="00F83EB6">
        <w:rPr>
          <w:noProof/>
        </w:rPr>
        <w:drawing>
          <wp:inline distT="0" distB="0" distL="0" distR="0" wp14:anchorId="1F1409C8" wp14:editId="39D4ABEE">
            <wp:extent cx="6332220" cy="294132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332220" cy="2941320"/>
                    </a:xfrm>
                    <a:prstGeom prst="rect">
                      <a:avLst/>
                    </a:prstGeom>
                  </pic:spPr>
                </pic:pic>
              </a:graphicData>
            </a:graphic>
          </wp:inline>
        </w:drawing>
      </w:r>
    </w:p>
    <w:p w:rsidR="00E65D8C" w:rsidRPr="00F83EB6" w:rsidRDefault="00F83EB6" w:rsidP="00F83EB6">
      <w:pPr>
        <w:pStyle w:val="Caption"/>
        <w:jc w:val="center"/>
        <w:rPr>
          <w:b w:val="0"/>
        </w:rPr>
      </w:pPr>
      <w:bookmarkStart w:id="6" w:name="_Ref528943450"/>
      <w:r>
        <w:t xml:space="preserve">Figure </w:t>
      </w:r>
      <w:r w:rsidR="008E1FDA">
        <w:rPr>
          <w:noProof/>
        </w:rPr>
        <w:fldChar w:fldCharType="begin"/>
      </w:r>
      <w:r w:rsidR="008E1FDA">
        <w:rPr>
          <w:noProof/>
        </w:rPr>
        <w:instrText xml:space="preserve"> SEQ Figure \* ARABIC </w:instrText>
      </w:r>
      <w:r w:rsidR="008E1FDA">
        <w:rPr>
          <w:noProof/>
        </w:rPr>
        <w:fldChar w:fldCharType="separate"/>
      </w:r>
      <w:r w:rsidR="0071525A">
        <w:rPr>
          <w:noProof/>
        </w:rPr>
        <w:t>4</w:t>
      </w:r>
      <w:r w:rsidR="008E1FDA">
        <w:rPr>
          <w:noProof/>
        </w:rPr>
        <w:fldChar w:fldCharType="end"/>
      </w:r>
      <w:bookmarkEnd w:id="6"/>
      <w:r>
        <w:t xml:space="preserve">: </w:t>
      </w:r>
      <w:r w:rsidRPr="00F83EB6">
        <w:rPr>
          <w:b w:val="0"/>
        </w:rPr>
        <w:t>NR PDSCH mapping type B with one additional DMRS symbol and LTE CRS rate matching</w:t>
      </w:r>
    </w:p>
    <w:p w:rsidR="00F83EB6" w:rsidRDefault="00F83EB6" w:rsidP="00F83EB6"/>
    <w:p w:rsidR="00ED3DCA" w:rsidRPr="00F83EB6" w:rsidRDefault="00ED3DCA" w:rsidP="00F83EB6">
      <w:r>
        <w:t xml:space="preserve">the corresponding NR DMRS UE behavior separately, however, making both mandatory with capability signaling is not only more consistent but also encourages the 3GPP ecosystem to implement both features in tandem. As can be seen from </w:t>
      </w:r>
      <w:r>
        <w:fldChar w:fldCharType="begin"/>
      </w:r>
      <w:r>
        <w:instrText xml:space="preserve"> REF _Ref528942950 \h  \* MERGEFORMAT </w:instrText>
      </w:r>
      <w:r>
        <w:fldChar w:fldCharType="separate"/>
      </w:r>
      <w:r w:rsidR="0071525A">
        <w:t>Figure 2</w:t>
      </w:r>
      <w:r>
        <w:fldChar w:fldCharType="end"/>
      </w:r>
      <w:r>
        <w:t xml:space="preserve">, the spectral efficiency of feature 5-28 is </w:t>
      </w:r>
      <w:r w:rsidR="008F47C6">
        <w:t>severely</w:t>
      </w:r>
      <w:r>
        <w:t xml:space="preserve"> impacted </w:t>
      </w:r>
      <w:r w:rsidR="005D0891">
        <w:t xml:space="preserve">without feature </w:t>
      </w:r>
      <w:r w:rsidR="005D0891">
        <w:rPr>
          <w:szCs w:val="22"/>
        </w:rPr>
        <w:t xml:space="preserve">2-5a (formerly 2-6b), so vendors should and are encouraged to implement both features jointly. Irrespectively, the signaling as already agreed still allows the UE to indicate its capability separately for each </w:t>
      </w:r>
      <w:r w:rsidR="005D0891">
        <w:rPr>
          <w:szCs w:val="22"/>
        </w:rPr>
        <w:lastRenderedPageBreak/>
        <w:t xml:space="preserve">feature. </w:t>
      </w:r>
      <w:r w:rsidR="008864AC">
        <w:rPr>
          <w:szCs w:val="22"/>
        </w:rPr>
        <w:t>But there must be a clear indication from 3GPP that feature 5-28 depends on feature 2-5a (formerly 2-6b)</w:t>
      </w:r>
      <w:r w:rsidR="003F367C">
        <w:rPr>
          <w:szCs w:val="22"/>
        </w:rPr>
        <w:t xml:space="preserve"> and that, if 5-28 is deemed mandatory, indeed 2-5a (formerly 2-6b) should also be.</w:t>
      </w:r>
    </w:p>
    <w:p w:rsidR="00E65D8C" w:rsidRDefault="00E65D8C" w:rsidP="00E65D8C">
      <w:pPr>
        <w:pStyle w:val="Caption"/>
        <w:keepNext/>
        <w:jc w:val="center"/>
      </w:pPr>
      <w:bookmarkStart w:id="7" w:name="_Ref528943348"/>
      <w:r>
        <w:t xml:space="preserve">Table </w:t>
      </w:r>
      <w:r w:rsidR="008E1FDA">
        <w:rPr>
          <w:noProof/>
        </w:rPr>
        <w:fldChar w:fldCharType="begin"/>
      </w:r>
      <w:r w:rsidR="008E1FDA">
        <w:rPr>
          <w:noProof/>
        </w:rPr>
        <w:instrText xml:space="preserve"> SEQ Table \* ARABIC </w:instrText>
      </w:r>
      <w:r w:rsidR="008E1FDA">
        <w:rPr>
          <w:noProof/>
        </w:rPr>
        <w:fldChar w:fldCharType="separate"/>
      </w:r>
      <w:r w:rsidR="0071525A">
        <w:rPr>
          <w:noProof/>
        </w:rPr>
        <w:t>1</w:t>
      </w:r>
      <w:r w:rsidR="008E1FDA">
        <w:rPr>
          <w:noProof/>
        </w:rPr>
        <w:fldChar w:fldCharType="end"/>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26"/>
        <w:gridCol w:w="1068"/>
        <w:gridCol w:w="1245"/>
        <w:gridCol w:w="1197"/>
        <w:gridCol w:w="1891"/>
        <w:gridCol w:w="1261"/>
        <w:gridCol w:w="1082"/>
        <w:gridCol w:w="1592"/>
      </w:tblGrid>
      <w:tr w:rsidR="00842492" w:rsidRPr="00CA4C8A" w:rsidTr="00842492">
        <w:trPr>
          <w:trHeight w:val="525"/>
        </w:trPr>
        <w:tc>
          <w:tcPr>
            <w:tcW w:w="314"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w:t>
            </w:r>
          </w:p>
        </w:tc>
        <w:tc>
          <w:tcPr>
            <w:tcW w:w="536"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Feature group</w:t>
            </w:r>
          </w:p>
        </w:tc>
        <w:tc>
          <w:tcPr>
            <w:tcW w:w="625"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Components</w:t>
            </w:r>
          </w:p>
        </w:tc>
        <w:tc>
          <w:tcPr>
            <w:tcW w:w="601"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 xml:space="preserve">Prerequisite feature groups </w:t>
            </w:r>
            <w:r w:rsidRPr="00A2545F">
              <w:rPr>
                <w:rFonts w:ascii="Arial" w:eastAsia="MS PGothic" w:hAnsi="Arial" w:cs="Arial"/>
                <w:sz w:val="18"/>
                <w:szCs w:val="18"/>
              </w:rPr>
              <w:br/>
              <w:t>(listed in this sheet only)</w:t>
            </w:r>
          </w:p>
        </w:tc>
        <w:tc>
          <w:tcPr>
            <w:tcW w:w="949"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Need for g</w:t>
            </w:r>
            <w:r w:rsidRPr="00EB58BB">
              <w:rPr>
                <w:rFonts w:ascii="Calibri" w:eastAsia="MS PGothic" w:hAnsi="Calibri" w:cs="Arial"/>
                <w:sz w:val="18"/>
                <w:szCs w:val="18"/>
              </w:rPr>
              <w:t>NB to know whether the</w:t>
            </w:r>
            <w:r w:rsidRPr="00EB58BB">
              <w:rPr>
                <w:rFonts w:ascii="Calibri" w:eastAsia="MS PGothic" w:hAnsi="Calibri" w:cs="Arial"/>
                <w:sz w:val="18"/>
                <w:szCs w:val="18"/>
              </w:rPr>
              <w:br/>
              <w:t>feature is supported by the UE</w:t>
            </w:r>
            <w:r w:rsidRPr="00EB58BB">
              <w:rPr>
                <w:rFonts w:ascii="Calibri" w:eastAsia="MS PGothic" w:hAnsi="Calibri" w:cs="Arial"/>
                <w:sz w:val="18"/>
                <w:szCs w:val="18"/>
              </w:rPr>
              <w:br/>
              <w:t>(what happens if gNB does not know?)</w:t>
            </w:r>
          </w:p>
        </w:tc>
        <w:tc>
          <w:tcPr>
            <w:tcW w:w="633"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Type (see R2-1712078)</w:t>
            </w:r>
          </w:p>
        </w:tc>
        <w:tc>
          <w:tcPr>
            <w:tcW w:w="543"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Note</w:t>
            </w:r>
          </w:p>
        </w:tc>
        <w:tc>
          <w:tcPr>
            <w:tcW w:w="800" w:type="pct"/>
            <w:shd w:val="clear" w:color="auto" w:fill="auto"/>
            <w:vAlign w:val="center"/>
          </w:tcPr>
          <w:p w:rsidR="00EC3F78" w:rsidRPr="00A2545F" w:rsidRDefault="00EC3F78" w:rsidP="00EC3F78">
            <w:pPr>
              <w:snapToGrid w:val="0"/>
              <w:jc w:val="center"/>
              <w:rPr>
                <w:rFonts w:ascii="Arial" w:eastAsia="MS PGothic" w:hAnsi="Arial" w:cs="Arial"/>
                <w:sz w:val="18"/>
                <w:szCs w:val="18"/>
              </w:rPr>
            </w:pPr>
            <w:r w:rsidRPr="00A2545F">
              <w:rPr>
                <w:rFonts w:ascii="Arial" w:eastAsia="MS PGothic" w:hAnsi="Arial" w:cs="Arial"/>
                <w:sz w:val="18"/>
                <w:szCs w:val="18"/>
              </w:rPr>
              <w:t>RAN WG recommendation</w:t>
            </w:r>
          </w:p>
        </w:tc>
      </w:tr>
      <w:tr w:rsidR="00842492" w:rsidRPr="00CA4C8A" w:rsidTr="00842492">
        <w:trPr>
          <w:trHeight w:val="525"/>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rPr>
                <w:rFonts w:asciiTheme="majorHAnsi" w:eastAsia="Times New Roman" w:hAnsiTheme="majorHAnsi" w:cstheme="majorHAnsi"/>
                <w:sz w:val="20"/>
              </w:rPr>
            </w:pPr>
            <w:r>
              <w:rPr>
                <w:rFonts w:asciiTheme="majorHAnsi" w:eastAsia="Times New Roman" w:hAnsiTheme="majorHAnsi" w:cstheme="majorHAnsi"/>
                <w:sz w:val="20"/>
              </w:rPr>
              <w:t>2-</w:t>
            </w:r>
            <w:r w:rsidR="00842492" w:rsidRPr="00842492">
              <w:rPr>
                <w:rFonts w:asciiTheme="majorHAnsi" w:eastAsia="Times New Roman" w:hAnsiTheme="majorHAnsi" w:cstheme="majorHAnsi"/>
                <w:color w:val="FF0000"/>
                <w:sz w:val="20"/>
              </w:rPr>
              <w:t xml:space="preserve">5a </w:t>
            </w:r>
            <w:r w:rsidRPr="00842492">
              <w:rPr>
                <w:rFonts w:asciiTheme="majorHAnsi" w:eastAsia="Times New Roman" w:hAnsiTheme="majorHAnsi" w:cstheme="majorHAnsi"/>
                <w:strike/>
                <w:color w:val="FF0000"/>
                <w:sz w:val="20"/>
              </w:rPr>
              <w:t>6b</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rPr>
                <w:rFonts w:asciiTheme="majorHAnsi" w:eastAsia="Times New Roman" w:hAnsiTheme="majorHAnsi" w:cstheme="majorHAnsi"/>
                <w:sz w:val="20"/>
              </w:rPr>
            </w:pPr>
            <w:r>
              <w:rPr>
                <w:rFonts w:asciiTheme="majorHAnsi" w:eastAsia="Times New Roman" w:hAnsiTheme="majorHAnsi" w:cstheme="majorHAnsi"/>
                <w:sz w:val="20"/>
              </w:rPr>
              <w:t>Support alternative additional DMRS location</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spacing w:after="240"/>
              <w:rPr>
                <w:rFonts w:asciiTheme="majorHAnsi" w:eastAsia="Times New Roman" w:hAnsiTheme="majorHAnsi" w:cstheme="majorHAnsi"/>
                <w:sz w:val="20"/>
              </w:rPr>
            </w:pPr>
            <w:r>
              <w:rPr>
                <w:rFonts w:asciiTheme="majorHAnsi" w:eastAsia="Times New Roman" w:hAnsiTheme="majorHAnsi" w:cstheme="majorHAnsi"/>
                <w:sz w:val="20"/>
              </w:rPr>
              <w:t>Support alternative additional DMRS position for co-existence with LTE CRS</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rPr>
                <w:rFonts w:asciiTheme="majorHAnsi" w:eastAsia="Times New Roman" w:hAnsiTheme="majorHAnsi" w:cstheme="majorHAnsi"/>
                <w:sz w:val="20"/>
              </w:rPr>
            </w:pPr>
            <w:r>
              <w:rPr>
                <w:rFonts w:asciiTheme="majorHAnsi" w:eastAsia="Times New Roman" w:hAnsiTheme="majorHAnsi" w:cstheme="majorHAnsi"/>
                <w:sz w:val="20"/>
              </w:rPr>
              <w:t>2-</w:t>
            </w:r>
            <w:r w:rsidR="00842492" w:rsidRPr="00842492">
              <w:rPr>
                <w:rFonts w:asciiTheme="majorHAnsi" w:eastAsia="Times New Roman" w:hAnsiTheme="majorHAnsi" w:cstheme="majorHAnsi"/>
                <w:color w:val="FF0000"/>
                <w:sz w:val="20"/>
              </w:rPr>
              <w:t>5</w:t>
            </w:r>
            <w:r w:rsidRPr="00842492">
              <w:rPr>
                <w:rFonts w:asciiTheme="majorHAnsi" w:eastAsia="Times New Roman" w:hAnsiTheme="majorHAnsi" w:cstheme="majorHAnsi"/>
                <w:strike/>
                <w:color w:val="FF0000"/>
                <w:sz w:val="20"/>
              </w:rPr>
              <w:t>6</w:t>
            </w:r>
            <w:r>
              <w:rPr>
                <w:rFonts w:asciiTheme="majorHAnsi" w:eastAsia="Times New Roman" w:hAnsiTheme="majorHAnsi" w:cstheme="majorHAnsi"/>
                <w:sz w:val="20"/>
              </w:rPr>
              <w:t xml:space="preserve"> and </w:t>
            </w:r>
            <w:r w:rsidR="00842492">
              <w:rPr>
                <w:rFonts w:asciiTheme="majorHAnsi" w:eastAsia="Times New Roman" w:hAnsiTheme="majorHAnsi" w:cstheme="majorHAnsi"/>
                <w:sz w:val="20"/>
              </w:rPr>
              <w:br/>
            </w:r>
            <w:r>
              <w:rPr>
                <w:rFonts w:asciiTheme="majorHAnsi" w:eastAsia="Times New Roman" w:hAnsiTheme="majorHAnsi" w:cstheme="majorHAnsi"/>
                <w:sz w:val="20"/>
              </w:rPr>
              <w:t>5-28</w:t>
            </w: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snapToGrid w:val="0"/>
              <w:rPr>
                <w:rFonts w:asciiTheme="majorHAnsi" w:eastAsia="MS PGothic" w:hAnsiTheme="majorHAnsi" w:cstheme="majorHAnsi"/>
                <w:sz w:val="20"/>
              </w:rPr>
            </w:pPr>
            <w:r>
              <w:rPr>
                <w:rFonts w:asciiTheme="majorHAnsi" w:eastAsia="MS PGothic" w:hAnsiTheme="majorHAnsi" w:cstheme="majorHAnsi"/>
                <w:sz w:val="20"/>
              </w:rPr>
              <w:t>Yes</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rPr>
                <w:rFonts w:asciiTheme="majorHAnsi" w:eastAsia="Times New Roman" w:hAnsiTheme="majorHAnsi" w:cstheme="majorHAnsi"/>
                <w:sz w:val="20"/>
              </w:rPr>
            </w:pPr>
            <w:r>
              <w:rPr>
                <w:rFonts w:asciiTheme="majorHAnsi" w:eastAsia="Times New Roman" w:hAnsiTheme="majorHAnsi" w:cstheme="majorHAnsi"/>
                <w:sz w:val="20"/>
              </w:rPr>
              <w:t>Type 3</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Default="00EC3F78" w:rsidP="00E1066D">
            <w:pPr>
              <w:snapToGrid w:val="0"/>
              <w:rPr>
                <w:rFonts w:asciiTheme="majorHAnsi" w:eastAsia="MS PGothic" w:hAnsiTheme="majorHAnsi" w:cstheme="majorHAnsi"/>
                <w:sz w:val="20"/>
              </w:rPr>
            </w:pPr>
            <w:r>
              <w:rPr>
                <w:rFonts w:asciiTheme="majorHAnsi" w:eastAsia="MS PGothic" w:hAnsiTheme="majorHAnsi" w:cstheme="majorHAnsi"/>
                <w:sz w:val="20"/>
              </w:rPr>
              <w:t xml:space="preserve">Note: This FG applies to FR1 only and 15kHz SCS. </w:t>
            </w:r>
          </w:p>
          <w:p w:rsidR="00EC3F78" w:rsidRDefault="00EC3F78" w:rsidP="00E1066D">
            <w:pPr>
              <w:snapToGrid w:val="0"/>
              <w:rPr>
                <w:rFonts w:asciiTheme="majorHAnsi" w:eastAsia="MS PGothic" w:hAnsiTheme="majorHAnsi" w:cstheme="majorHAnsi"/>
                <w:sz w:val="20"/>
              </w:rPr>
            </w:pPr>
          </w:p>
          <w:p w:rsidR="00EC3F78" w:rsidRPr="00CA4C8A" w:rsidRDefault="00EC3F78" w:rsidP="00E1066D">
            <w:pPr>
              <w:snapToGrid w:val="0"/>
              <w:rPr>
                <w:rFonts w:asciiTheme="majorHAnsi" w:eastAsia="MS PGothic" w:hAnsiTheme="majorHAnsi" w:cstheme="majorHAnsi"/>
                <w:sz w:val="20"/>
              </w:rPr>
            </w:pPr>
            <w:r>
              <w:rPr>
                <w:rFonts w:asciiTheme="majorHAnsi" w:eastAsia="MS PGothic" w:hAnsiTheme="majorHAnsi" w:cstheme="majorHAnsi"/>
                <w:sz w:val="20"/>
              </w:rPr>
              <w:t xml:space="preserve">Note: this applies to one additional DMRS case only </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EC3F78" w:rsidRPr="00CA4C8A" w:rsidRDefault="00EC3F78" w:rsidP="00E1066D">
            <w:pPr>
              <w:rPr>
                <w:rFonts w:asciiTheme="majorHAnsi" w:eastAsia="Times New Roman" w:hAnsiTheme="majorHAnsi" w:cstheme="majorHAnsi"/>
                <w:sz w:val="20"/>
              </w:rPr>
            </w:pPr>
            <w:r>
              <w:rPr>
                <w:rFonts w:asciiTheme="majorHAnsi" w:eastAsia="Times New Roman" w:hAnsiTheme="majorHAnsi" w:cstheme="majorHAnsi"/>
                <w:sz w:val="20"/>
              </w:rPr>
              <w:t xml:space="preserve">Optional </w:t>
            </w:r>
            <w:r w:rsidRPr="00CA4C8A">
              <w:rPr>
                <w:rFonts w:asciiTheme="majorHAnsi" w:eastAsia="Times New Roman" w:hAnsiTheme="majorHAnsi" w:cstheme="majorHAnsi"/>
                <w:sz w:val="20"/>
              </w:rPr>
              <w:t>with UE capability signaling</w:t>
            </w:r>
          </w:p>
        </w:tc>
      </w:tr>
    </w:tbl>
    <w:p w:rsidR="00EC3F78" w:rsidRDefault="00EC3F78" w:rsidP="00047A44">
      <w:pPr>
        <w:jc w:val="both"/>
        <w:rPr>
          <w:szCs w:val="22"/>
        </w:rPr>
      </w:pPr>
    </w:p>
    <w:p w:rsidR="00703F54" w:rsidRDefault="00703F54" w:rsidP="00703F54">
      <w:pPr>
        <w:jc w:val="both"/>
        <w:rPr>
          <w:b/>
          <w:szCs w:val="22"/>
        </w:rPr>
      </w:pPr>
      <w:r>
        <w:rPr>
          <w:b/>
          <w:szCs w:val="22"/>
        </w:rPr>
        <w:t xml:space="preserve">Proposal: </w:t>
      </w:r>
    </w:p>
    <w:p w:rsidR="00703F54" w:rsidRDefault="00703F54" w:rsidP="00703F54">
      <w:pPr>
        <w:pStyle w:val="ListParagraph"/>
        <w:numPr>
          <w:ilvl w:val="0"/>
          <w:numId w:val="15"/>
        </w:numPr>
        <w:jc w:val="both"/>
        <w:rPr>
          <w:b/>
        </w:rPr>
      </w:pPr>
      <w:r>
        <w:rPr>
          <w:b/>
        </w:rPr>
        <w:t>F</w:t>
      </w:r>
      <w:r w:rsidRPr="00D338DD">
        <w:rPr>
          <w:b/>
        </w:rPr>
        <w:t xml:space="preserve">eature group 2-5a (formerly 2-6b) </w:t>
      </w:r>
      <w:r>
        <w:rPr>
          <w:b/>
        </w:rPr>
        <w:t xml:space="preserve">is </w:t>
      </w:r>
      <w:r w:rsidRPr="00D338DD">
        <w:rPr>
          <w:b/>
        </w:rPr>
        <w:t xml:space="preserve">a subset of </w:t>
      </w:r>
      <w:r w:rsidRPr="00D338DD">
        <w:rPr>
          <w:b/>
          <w:i/>
        </w:rPr>
        <w:t>Basic downlink DMRS for scheduling type A</w:t>
      </w:r>
      <w:r w:rsidRPr="00D338DD">
        <w:rPr>
          <w:b/>
        </w:rPr>
        <w:t xml:space="preserve"> and </w:t>
      </w:r>
      <w:r>
        <w:rPr>
          <w:b/>
        </w:rPr>
        <w:t>is</w:t>
      </w:r>
      <w:r w:rsidRPr="00D338DD">
        <w:rPr>
          <w:b/>
        </w:rPr>
        <w:t xml:space="preserve"> labeled 2-5a </w:t>
      </w:r>
    </w:p>
    <w:p w:rsidR="00703F54" w:rsidRPr="00D338DD" w:rsidRDefault="00703F54" w:rsidP="00703F54">
      <w:pPr>
        <w:pStyle w:val="ListParagraph"/>
        <w:numPr>
          <w:ilvl w:val="0"/>
          <w:numId w:val="15"/>
        </w:numPr>
        <w:jc w:val="both"/>
        <w:rPr>
          <w:b/>
        </w:rPr>
      </w:pPr>
      <w:r w:rsidRPr="00D338DD">
        <w:rPr>
          <w:b/>
        </w:rPr>
        <w:t xml:space="preserve"> The prerequisite feature group</w:t>
      </w:r>
      <w:r>
        <w:rPr>
          <w:b/>
        </w:rPr>
        <w:t xml:space="preserve"> for </w:t>
      </w:r>
      <w:r w:rsidRPr="00D338DD">
        <w:rPr>
          <w:b/>
        </w:rPr>
        <w:t>2-5a (formerly 2-6b) is 2-5 Basic dow</w:t>
      </w:r>
      <w:r>
        <w:rPr>
          <w:b/>
        </w:rPr>
        <w:t>nlink DMRS for scheduling type A</w:t>
      </w:r>
    </w:p>
    <w:p w:rsidR="00703F54" w:rsidRDefault="00703F54" w:rsidP="00703F54">
      <w:pPr>
        <w:pStyle w:val="ListParagraph"/>
        <w:numPr>
          <w:ilvl w:val="0"/>
          <w:numId w:val="15"/>
        </w:numPr>
        <w:jc w:val="both"/>
        <w:rPr>
          <w:b/>
        </w:rPr>
      </w:pPr>
      <w:r>
        <w:rPr>
          <w:b/>
        </w:rPr>
        <w:t>F</w:t>
      </w:r>
      <w:r w:rsidRPr="00D338DD">
        <w:rPr>
          <w:b/>
        </w:rPr>
        <w:t xml:space="preserve">eature group 2-5a (formerly 2-6b) </w:t>
      </w:r>
      <w:r>
        <w:rPr>
          <w:b/>
        </w:rPr>
        <w:t xml:space="preserve">is </w:t>
      </w:r>
      <w:r w:rsidRPr="00D338DD">
        <w:rPr>
          <w:b/>
        </w:rPr>
        <w:t>mand</w:t>
      </w:r>
      <w:r>
        <w:rPr>
          <w:b/>
        </w:rPr>
        <w:t>atory with capability signaling</w:t>
      </w:r>
    </w:p>
    <w:p w:rsidR="00D338DD" w:rsidRDefault="00D338DD" w:rsidP="00D338DD">
      <w:pPr>
        <w:jc w:val="both"/>
        <w:rPr>
          <w:b/>
        </w:rPr>
      </w:pPr>
    </w:p>
    <w:p w:rsidR="00D338DD" w:rsidRPr="00D338DD" w:rsidRDefault="00D338DD" w:rsidP="00D338DD">
      <w:pPr>
        <w:jc w:val="both"/>
      </w:pPr>
      <w:r w:rsidRPr="00D338DD">
        <w:t>The</w:t>
      </w:r>
      <w:r>
        <w:t xml:space="preserve"> proposals are signified in </w:t>
      </w:r>
      <w:r>
        <w:fldChar w:fldCharType="begin"/>
      </w:r>
      <w:r>
        <w:instrText xml:space="preserve"> REF _Ref528943348 \h </w:instrText>
      </w:r>
      <w:r>
        <w:fldChar w:fldCharType="separate"/>
      </w:r>
      <w:r w:rsidR="0071525A">
        <w:t xml:space="preserve">Table </w:t>
      </w:r>
      <w:r w:rsidR="0071525A">
        <w:rPr>
          <w:noProof/>
        </w:rPr>
        <w:t>1</w:t>
      </w:r>
      <w:r>
        <w:fldChar w:fldCharType="end"/>
      </w:r>
      <w:r>
        <w:t xml:space="preserve"> with red revision marks. </w:t>
      </w:r>
    </w:p>
    <w:p w:rsidR="008D04DC" w:rsidRDefault="007C3145" w:rsidP="008D04DC">
      <w:pPr>
        <w:pStyle w:val="Heading1"/>
      </w:pPr>
      <w:r>
        <w:t>Conclusion</w:t>
      </w:r>
    </w:p>
    <w:p w:rsidR="006C6D2C" w:rsidRDefault="006C6D2C" w:rsidP="006C6D2C">
      <w:pPr>
        <w:jc w:val="both"/>
        <w:rPr>
          <w:lang w:val="en-GB"/>
        </w:rPr>
      </w:pPr>
      <w:r>
        <w:rPr>
          <w:lang w:val="en-GB"/>
        </w:rPr>
        <w:t>At the last RAN1 #94bis meeting, RAN1 agreed new UE behaviour for NR PDSCH when the UE is configured with additional DMRS symbols on carriers that overlap with LTE CRS. The corresponding agreement is not correctly implemented in the latest RAN1 NR UE feature list and consequently, this contribution proposed to correct the RAN1 NR UE feature list in regard to said agreement. Furthermore, it was motivated and proposed to make this feature mandatory with capability signaling. The following are the proposals in detail:</w:t>
      </w:r>
    </w:p>
    <w:p w:rsidR="00D338DD" w:rsidRDefault="00D338DD" w:rsidP="00D338DD">
      <w:pPr>
        <w:jc w:val="both"/>
        <w:rPr>
          <w:b/>
          <w:szCs w:val="22"/>
        </w:rPr>
      </w:pPr>
      <w:r>
        <w:rPr>
          <w:b/>
          <w:szCs w:val="22"/>
        </w:rPr>
        <w:t xml:space="preserve">Proposal: </w:t>
      </w:r>
    </w:p>
    <w:p w:rsidR="00D338DD" w:rsidRDefault="00D338DD" w:rsidP="00D338DD">
      <w:pPr>
        <w:pStyle w:val="ListParagraph"/>
        <w:numPr>
          <w:ilvl w:val="0"/>
          <w:numId w:val="15"/>
        </w:numPr>
        <w:jc w:val="both"/>
        <w:rPr>
          <w:b/>
        </w:rPr>
      </w:pPr>
      <w:r>
        <w:rPr>
          <w:b/>
        </w:rPr>
        <w:t>F</w:t>
      </w:r>
      <w:r w:rsidRPr="00D338DD">
        <w:rPr>
          <w:b/>
        </w:rPr>
        <w:t xml:space="preserve">eature group 2-5a (formerly 2-6b) </w:t>
      </w:r>
      <w:r>
        <w:rPr>
          <w:b/>
        </w:rPr>
        <w:t xml:space="preserve">is </w:t>
      </w:r>
      <w:r w:rsidRPr="00D338DD">
        <w:rPr>
          <w:b/>
        </w:rPr>
        <w:t xml:space="preserve">a subset of </w:t>
      </w:r>
      <w:r w:rsidRPr="00D338DD">
        <w:rPr>
          <w:b/>
          <w:i/>
        </w:rPr>
        <w:t>Basic downlink DMRS for scheduling type A</w:t>
      </w:r>
      <w:r w:rsidRPr="00D338DD">
        <w:rPr>
          <w:b/>
        </w:rPr>
        <w:t xml:space="preserve"> and </w:t>
      </w:r>
      <w:r>
        <w:rPr>
          <w:b/>
        </w:rPr>
        <w:t>is</w:t>
      </w:r>
      <w:r w:rsidRPr="00D338DD">
        <w:rPr>
          <w:b/>
        </w:rPr>
        <w:t xml:space="preserve"> labeled 2-5a </w:t>
      </w:r>
    </w:p>
    <w:p w:rsidR="00D338DD" w:rsidRPr="00D338DD" w:rsidRDefault="00D338DD" w:rsidP="00D338DD">
      <w:pPr>
        <w:pStyle w:val="ListParagraph"/>
        <w:numPr>
          <w:ilvl w:val="0"/>
          <w:numId w:val="15"/>
        </w:numPr>
        <w:jc w:val="both"/>
        <w:rPr>
          <w:b/>
        </w:rPr>
      </w:pPr>
      <w:r w:rsidRPr="00D338DD">
        <w:rPr>
          <w:b/>
        </w:rPr>
        <w:t xml:space="preserve"> The prerequisite feature group</w:t>
      </w:r>
      <w:r>
        <w:rPr>
          <w:b/>
        </w:rPr>
        <w:t xml:space="preserve"> for </w:t>
      </w:r>
      <w:r w:rsidRPr="00D338DD">
        <w:rPr>
          <w:b/>
        </w:rPr>
        <w:t>2-5a (formerly 2-6b) is 2-5 Basic dow</w:t>
      </w:r>
      <w:r w:rsidR="00202BFF">
        <w:rPr>
          <w:b/>
        </w:rPr>
        <w:t>nlink DMRS for scheduling type A</w:t>
      </w:r>
    </w:p>
    <w:p w:rsidR="00D338DD" w:rsidRDefault="00D338DD" w:rsidP="00D338DD">
      <w:pPr>
        <w:pStyle w:val="ListParagraph"/>
        <w:numPr>
          <w:ilvl w:val="0"/>
          <w:numId w:val="15"/>
        </w:numPr>
        <w:jc w:val="both"/>
        <w:rPr>
          <w:b/>
        </w:rPr>
      </w:pPr>
      <w:r>
        <w:rPr>
          <w:b/>
        </w:rPr>
        <w:lastRenderedPageBreak/>
        <w:t>F</w:t>
      </w:r>
      <w:r w:rsidRPr="00D338DD">
        <w:rPr>
          <w:b/>
        </w:rPr>
        <w:t xml:space="preserve">eature group 2-5a (formerly 2-6b) </w:t>
      </w:r>
      <w:r>
        <w:rPr>
          <w:b/>
        </w:rPr>
        <w:t xml:space="preserve">is </w:t>
      </w:r>
      <w:r w:rsidRPr="00D338DD">
        <w:rPr>
          <w:b/>
        </w:rPr>
        <w:t>mand</w:t>
      </w:r>
      <w:r>
        <w:rPr>
          <w:b/>
        </w:rPr>
        <w:t>atory with capability signaling</w:t>
      </w:r>
    </w:p>
    <w:p w:rsidR="00D338DD" w:rsidRDefault="00D338DD" w:rsidP="00D338DD">
      <w:pPr>
        <w:jc w:val="both"/>
        <w:rPr>
          <w:b/>
        </w:rPr>
      </w:pPr>
    </w:p>
    <w:p w:rsidR="0027305D" w:rsidRPr="00D338DD" w:rsidRDefault="00D338DD" w:rsidP="00476DE1">
      <w:pPr>
        <w:jc w:val="both"/>
      </w:pPr>
      <w:r w:rsidRPr="00D338DD">
        <w:t>The</w:t>
      </w:r>
      <w:r>
        <w:t xml:space="preserve"> proposals are signified in </w:t>
      </w:r>
      <w:r>
        <w:fldChar w:fldCharType="begin"/>
      </w:r>
      <w:r>
        <w:instrText xml:space="preserve"> REF _Ref528943348 \h </w:instrText>
      </w:r>
      <w:r>
        <w:fldChar w:fldCharType="separate"/>
      </w:r>
      <w:r w:rsidR="0071525A">
        <w:t xml:space="preserve">Table </w:t>
      </w:r>
      <w:r w:rsidR="0071525A">
        <w:rPr>
          <w:noProof/>
        </w:rPr>
        <w:t>1</w:t>
      </w:r>
      <w:r>
        <w:fldChar w:fldCharType="end"/>
      </w:r>
      <w:r>
        <w:t xml:space="preserve"> with red revision marks. </w:t>
      </w:r>
    </w:p>
    <w:p w:rsidR="00AF2C72" w:rsidRPr="006B13A0" w:rsidRDefault="00AF2C72" w:rsidP="006B13A0">
      <w:pPr>
        <w:pStyle w:val="Heading1"/>
      </w:pPr>
      <w:r>
        <w:t>Reference</w:t>
      </w:r>
    </w:p>
    <w:p w:rsidR="00047A44" w:rsidRPr="00FF4254" w:rsidRDefault="00FF4254" w:rsidP="00047A44">
      <w:pPr>
        <w:pStyle w:val="2222"/>
        <w:numPr>
          <w:ilvl w:val="0"/>
          <w:numId w:val="2"/>
        </w:numPr>
        <w:spacing w:after="120" w:line="288" w:lineRule="auto"/>
        <w:ind w:left="360" w:firstLineChars="0"/>
        <w:jc w:val="left"/>
        <w:rPr>
          <w:rFonts w:asciiTheme="minorHAnsi" w:hAnsiTheme="minorHAnsi" w:cs="Times New Roman"/>
          <w:sz w:val="22"/>
          <w:lang w:eastAsia="ko-KR"/>
        </w:rPr>
      </w:pPr>
      <w:bookmarkStart w:id="8" w:name="_Ref528944519"/>
      <w:r w:rsidRPr="00FF4254">
        <w:rPr>
          <w:rFonts w:asciiTheme="minorHAnsi" w:hAnsiTheme="minorHAnsi" w:cs="Times New Roman"/>
          <w:sz w:val="22"/>
          <w:lang w:eastAsia="ko-KR"/>
        </w:rPr>
        <w:t>R1-1812064 RA</w:t>
      </w:r>
      <w:bookmarkStart w:id="9" w:name="_GoBack"/>
      <w:bookmarkEnd w:id="9"/>
      <w:r w:rsidRPr="00FF4254">
        <w:rPr>
          <w:rFonts w:asciiTheme="minorHAnsi" w:hAnsiTheme="minorHAnsi" w:cs="Times New Roman"/>
          <w:sz w:val="22"/>
          <w:lang w:eastAsia="ko-KR"/>
        </w:rPr>
        <w:t>N1 NR UE features</w:t>
      </w:r>
      <w:r w:rsidR="00494C56" w:rsidRPr="00FF4254">
        <w:rPr>
          <w:rFonts w:asciiTheme="minorHAnsi" w:hAnsiTheme="minorHAnsi" w:cs="Times New Roman"/>
          <w:sz w:val="22"/>
          <w:lang w:eastAsia="ko-KR"/>
        </w:rPr>
        <w:t>, RAN1 (NTT DOCOMO, AT&amp;T)</w:t>
      </w:r>
      <w:bookmarkEnd w:id="8"/>
    </w:p>
    <w:p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3FE" w:rsidRDefault="00EF13FE" w:rsidP="00A03DF3">
      <w:pPr>
        <w:spacing w:after="0"/>
      </w:pPr>
      <w:r>
        <w:separator/>
      </w:r>
    </w:p>
  </w:endnote>
  <w:endnote w:type="continuationSeparator" w:id="0">
    <w:p w:rsidR="00EF13FE" w:rsidRDefault="00EF13F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7396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396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3FE" w:rsidRDefault="00EF13FE" w:rsidP="00A03DF3">
      <w:pPr>
        <w:spacing w:after="0"/>
      </w:pPr>
      <w:r>
        <w:separator/>
      </w:r>
    </w:p>
  </w:footnote>
  <w:footnote w:type="continuationSeparator" w:id="0">
    <w:p w:rsidR="00EF13FE" w:rsidRDefault="00EF13F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971E36"/>
    <w:multiLevelType w:val="hybridMultilevel"/>
    <w:tmpl w:val="883A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2F250E"/>
    <w:multiLevelType w:val="hybridMultilevel"/>
    <w:tmpl w:val="9BF4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5"/>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 w:numId="14">
    <w:abstractNumId w:val="6"/>
  </w:num>
  <w:num w:numId="15">
    <w:abstractNumId w:val="8"/>
  </w:num>
  <w:num w:numId="16">
    <w:abstractNumId w:val="1"/>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removePersonalInformation/>
  <w:removeDateAndTime/>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33CB"/>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170"/>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126D"/>
    <w:rsid w:val="001E7A26"/>
    <w:rsid w:val="001F0EBA"/>
    <w:rsid w:val="002028A8"/>
    <w:rsid w:val="00202BFF"/>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4933"/>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05D"/>
    <w:rsid w:val="00273449"/>
    <w:rsid w:val="00273B90"/>
    <w:rsid w:val="00275941"/>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821"/>
    <w:rsid w:val="002D1D49"/>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4B57"/>
    <w:rsid w:val="0034756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367C"/>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00C"/>
    <w:rsid w:val="004303F8"/>
    <w:rsid w:val="004340D2"/>
    <w:rsid w:val="004344AE"/>
    <w:rsid w:val="00434EBF"/>
    <w:rsid w:val="004364CC"/>
    <w:rsid w:val="0043702C"/>
    <w:rsid w:val="004373B3"/>
    <w:rsid w:val="004377F0"/>
    <w:rsid w:val="0044468E"/>
    <w:rsid w:val="004457B1"/>
    <w:rsid w:val="00446189"/>
    <w:rsid w:val="00446B9E"/>
    <w:rsid w:val="00446E65"/>
    <w:rsid w:val="00451BA0"/>
    <w:rsid w:val="004608B6"/>
    <w:rsid w:val="00460FF1"/>
    <w:rsid w:val="00462337"/>
    <w:rsid w:val="00464EBF"/>
    <w:rsid w:val="00465407"/>
    <w:rsid w:val="0046609F"/>
    <w:rsid w:val="004678E8"/>
    <w:rsid w:val="00470821"/>
    <w:rsid w:val="00476DE1"/>
    <w:rsid w:val="00477858"/>
    <w:rsid w:val="00477A4A"/>
    <w:rsid w:val="00484322"/>
    <w:rsid w:val="00484487"/>
    <w:rsid w:val="00485C14"/>
    <w:rsid w:val="00487D79"/>
    <w:rsid w:val="00491CAF"/>
    <w:rsid w:val="00492AF8"/>
    <w:rsid w:val="004934E6"/>
    <w:rsid w:val="00494C5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6C64"/>
    <w:rsid w:val="005478CF"/>
    <w:rsid w:val="00550E5F"/>
    <w:rsid w:val="0055311C"/>
    <w:rsid w:val="0055425E"/>
    <w:rsid w:val="00554916"/>
    <w:rsid w:val="00555C71"/>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01EC"/>
    <w:rsid w:val="005A13B6"/>
    <w:rsid w:val="005B4A31"/>
    <w:rsid w:val="005C17F4"/>
    <w:rsid w:val="005C1BF7"/>
    <w:rsid w:val="005C1CAB"/>
    <w:rsid w:val="005C4DCF"/>
    <w:rsid w:val="005C5F6F"/>
    <w:rsid w:val="005C6FED"/>
    <w:rsid w:val="005D0891"/>
    <w:rsid w:val="005D4158"/>
    <w:rsid w:val="005D693B"/>
    <w:rsid w:val="005E303C"/>
    <w:rsid w:val="005E3995"/>
    <w:rsid w:val="005E617B"/>
    <w:rsid w:val="005E6E5E"/>
    <w:rsid w:val="005E7185"/>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0436"/>
    <w:rsid w:val="006B13A0"/>
    <w:rsid w:val="006C3375"/>
    <w:rsid w:val="006C6ACF"/>
    <w:rsid w:val="006C6D2C"/>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03F54"/>
    <w:rsid w:val="0071017C"/>
    <w:rsid w:val="007133C3"/>
    <w:rsid w:val="007150AB"/>
    <w:rsid w:val="0071525A"/>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2E4A"/>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043C"/>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129"/>
    <w:rsid w:val="00805CD7"/>
    <w:rsid w:val="00805FBE"/>
    <w:rsid w:val="00806F34"/>
    <w:rsid w:val="00811A50"/>
    <w:rsid w:val="008124BF"/>
    <w:rsid w:val="008169EA"/>
    <w:rsid w:val="00816FB9"/>
    <w:rsid w:val="00817943"/>
    <w:rsid w:val="008226E4"/>
    <w:rsid w:val="008236D0"/>
    <w:rsid w:val="008255CA"/>
    <w:rsid w:val="00825EC8"/>
    <w:rsid w:val="008307E3"/>
    <w:rsid w:val="00831124"/>
    <w:rsid w:val="00832D6D"/>
    <w:rsid w:val="00835340"/>
    <w:rsid w:val="00840100"/>
    <w:rsid w:val="00841D9F"/>
    <w:rsid w:val="00841FBB"/>
    <w:rsid w:val="00842492"/>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4AC"/>
    <w:rsid w:val="008866D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1FDA"/>
    <w:rsid w:val="008E332B"/>
    <w:rsid w:val="008E4630"/>
    <w:rsid w:val="008E4A25"/>
    <w:rsid w:val="008E5AEC"/>
    <w:rsid w:val="008F1068"/>
    <w:rsid w:val="008F1365"/>
    <w:rsid w:val="008F47C6"/>
    <w:rsid w:val="008F4B86"/>
    <w:rsid w:val="009031D6"/>
    <w:rsid w:val="009060A4"/>
    <w:rsid w:val="00906F42"/>
    <w:rsid w:val="00907FBE"/>
    <w:rsid w:val="00913445"/>
    <w:rsid w:val="009153CC"/>
    <w:rsid w:val="0092002C"/>
    <w:rsid w:val="00920EB9"/>
    <w:rsid w:val="00922DB8"/>
    <w:rsid w:val="00922FFE"/>
    <w:rsid w:val="009269EF"/>
    <w:rsid w:val="00926EB6"/>
    <w:rsid w:val="009305D4"/>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01FE"/>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6B11"/>
    <w:rsid w:val="00A57130"/>
    <w:rsid w:val="00A57378"/>
    <w:rsid w:val="00A605AD"/>
    <w:rsid w:val="00A62AF6"/>
    <w:rsid w:val="00A62EBB"/>
    <w:rsid w:val="00A63066"/>
    <w:rsid w:val="00A63D5B"/>
    <w:rsid w:val="00A63F79"/>
    <w:rsid w:val="00A64200"/>
    <w:rsid w:val="00A65BAB"/>
    <w:rsid w:val="00A706A9"/>
    <w:rsid w:val="00A71B3A"/>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35DF2"/>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5827"/>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CE9"/>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758A"/>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19AA"/>
    <w:rsid w:val="00D32790"/>
    <w:rsid w:val="00D338DD"/>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3962"/>
    <w:rsid w:val="00D753BC"/>
    <w:rsid w:val="00D757D5"/>
    <w:rsid w:val="00D76B79"/>
    <w:rsid w:val="00D773F5"/>
    <w:rsid w:val="00D77932"/>
    <w:rsid w:val="00D844CD"/>
    <w:rsid w:val="00D86C0A"/>
    <w:rsid w:val="00D86CDE"/>
    <w:rsid w:val="00D91B82"/>
    <w:rsid w:val="00D923F2"/>
    <w:rsid w:val="00D97B55"/>
    <w:rsid w:val="00DA1B9A"/>
    <w:rsid w:val="00DA53F3"/>
    <w:rsid w:val="00DA60BB"/>
    <w:rsid w:val="00DA7B6D"/>
    <w:rsid w:val="00DB32D0"/>
    <w:rsid w:val="00DB6BB5"/>
    <w:rsid w:val="00DB7753"/>
    <w:rsid w:val="00DC69F1"/>
    <w:rsid w:val="00DD051F"/>
    <w:rsid w:val="00DD0D2E"/>
    <w:rsid w:val="00DD1B3E"/>
    <w:rsid w:val="00DD27CD"/>
    <w:rsid w:val="00DE093B"/>
    <w:rsid w:val="00DE0A17"/>
    <w:rsid w:val="00DE2CC1"/>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3395"/>
    <w:rsid w:val="00E543B1"/>
    <w:rsid w:val="00E57FF6"/>
    <w:rsid w:val="00E6533C"/>
    <w:rsid w:val="00E65D8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58AA"/>
    <w:rsid w:val="00EB6F52"/>
    <w:rsid w:val="00EC0809"/>
    <w:rsid w:val="00EC0DB5"/>
    <w:rsid w:val="00EC3BD4"/>
    <w:rsid w:val="00EC3F78"/>
    <w:rsid w:val="00EC4C97"/>
    <w:rsid w:val="00EC4E5C"/>
    <w:rsid w:val="00ED021E"/>
    <w:rsid w:val="00ED0713"/>
    <w:rsid w:val="00ED0E87"/>
    <w:rsid w:val="00ED3DCA"/>
    <w:rsid w:val="00ED7BDC"/>
    <w:rsid w:val="00ED7F87"/>
    <w:rsid w:val="00EE1463"/>
    <w:rsid w:val="00EE3605"/>
    <w:rsid w:val="00EE69AF"/>
    <w:rsid w:val="00EE6EFD"/>
    <w:rsid w:val="00EE70BB"/>
    <w:rsid w:val="00EF13A2"/>
    <w:rsid w:val="00EF13FE"/>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0DB"/>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771C1"/>
    <w:rsid w:val="00F8398C"/>
    <w:rsid w:val="00F83B26"/>
    <w:rsid w:val="00F83EB6"/>
    <w:rsid w:val="00F87B49"/>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E664A"/>
    <w:rsid w:val="00FF1A08"/>
    <w:rsid w:val="00FF4254"/>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651714327">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02071246">
      <w:bodyDiv w:val="1"/>
      <w:marLeft w:val="0"/>
      <w:marRight w:val="0"/>
      <w:marTop w:val="0"/>
      <w:marBottom w:val="0"/>
      <w:divBdr>
        <w:top w:val="none" w:sz="0" w:space="0" w:color="auto"/>
        <w:left w:val="none" w:sz="0" w:space="0" w:color="auto"/>
        <w:bottom w:val="none" w:sz="0" w:space="0" w:color="auto"/>
        <w:right w:val="none" w:sz="0" w:space="0" w:color="auto"/>
      </w:divBdr>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687EB-C4F8-4F46-AC93-E8616462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2018-11-02T22:53:00Z</dcterms:created>
  <dcterms:modified xsi:type="dcterms:W3CDTF">2018-11-03T01:09:00Z</dcterms:modified>
</cp:coreProperties>
</file>